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2E2D" w14:textId="77777777" w:rsidR="00867E04" w:rsidRDefault="00ED48FB"/>
    <w:p w14:paraId="72684E1C" w14:textId="77777777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2689793E" w14:textId="77777777" w:rsidR="003C3915" w:rsidRDefault="003C3915" w:rsidP="003C3915">
      <w:pPr>
        <w:jc w:val="center"/>
        <w:rPr>
          <w:b/>
          <w:sz w:val="32"/>
          <w:szCs w:val="32"/>
        </w:rPr>
      </w:pPr>
    </w:p>
    <w:p w14:paraId="02FCF6C0" w14:textId="333C3B57" w:rsidR="003C3915" w:rsidRDefault="007E296D" w:rsidP="003C3915">
      <w:pPr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7E03C0">
        <w:rPr>
          <w:sz w:val="22"/>
          <w:szCs w:val="22"/>
        </w:rPr>
        <w:t>2</w:t>
      </w:r>
      <w:r w:rsidR="0085667B">
        <w:rPr>
          <w:sz w:val="22"/>
          <w:szCs w:val="22"/>
        </w:rPr>
        <w:t>7</w:t>
      </w:r>
      <w:r w:rsidR="00C73D59">
        <w:rPr>
          <w:sz w:val="22"/>
          <w:szCs w:val="22"/>
        </w:rPr>
        <w:t>, 2018</w:t>
      </w:r>
    </w:p>
    <w:p w14:paraId="3D92D235" w14:textId="77777777" w:rsidR="003C3915" w:rsidRDefault="006E7884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591A" wp14:editId="108D7A7D">
                <wp:simplePos x="0" y="0"/>
                <wp:positionH relativeFrom="margin">
                  <wp:align>left</wp:align>
                </wp:positionH>
                <wp:positionV relativeFrom="paragraph">
                  <wp:posOffset>41882</wp:posOffset>
                </wp:positionV>
                <wp:extent cx="5995035" cy="7810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307C" w14:textId="5B8F8C0C" w:rsidR="003C3915" w:rsidRPr="004E504A" w:rsidRDefault="00C73D59" w:rsidP="006E7884">
                            <w:pPr>
                              <w:shd w:val="clear" w:color="auto" w:fill="FFFFFF"/>
                              <w:spacing w:before="8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 xml:space="preserve">Substantial Declines Coming to WSIB </w:t>
                            </w:r>
                            <w:r w:rsidR="00D75642"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 xml:space="preserve">Employer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Premium Rates in</w:t>
                            </w:r>
                            <w:r w:rsidR="00671498"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 xml:space="preserve"> 201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eastAsia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35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472.0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q9JQIAAEY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">
                <v:textbox>
                  <w:txbxContent>
                    <w:p w14:paraId="6C14307C" w14:textId="5B8F8C0C" w:rsidR="003C3915" w:rsidRPr="004E504A" w:rsidRDefault="00C73D59" w:rsidP="006E7884">
                      <w:pPr>
                        <w:shd w:val="clear" w:color="auto" w:fill="FFFFFF"/>
                        <w:spacing w:before="8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 xml:space="preserve">Substantial Declines Coming to WSIB </w:t>
                      </w:r>
                      <w:r w:rsidR="00D75642"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 xml:space="preserve">Employer </w:t>
                      </w:r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Premium Rates in</w:t>
                      </w:r>
                      <w:r w:rsidR="00671498"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 xml:space="preserve"> 201</w:t>
                      </w:r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eastAsia="en-CA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70669" w14:textId="77777777" w:rsidR="003C3915" w:rsidRDefault="003C3915" w:rsidP="003C3915">
      <w:pPr>
        <w:rPr>
          <w:sz w:val="22"/>
          <w:szCs w:val="22"/>
        </w:rPr>
      </w:pPr>
    </w:p>
    <w:p w14:paraId="70DDBBBD" w14:textId="77777777" w:rsidR="003C3915" w:rsidRDefault="003C3915" w:rsidP="003C3915">
      <w:pPr>
        <w:rPr>
          <w:sz w:val="22"/>
          <w:szCs w:val="22"/>
        </w:rPr>
      </w:pPr>
    </w:p>
    <w:p w14:paraId="05783A73" w14:textId="77777777" w:rsidR="003C3915" w:rsidRDefault="003C3915" w:rsidP="003C3915">
      <w:pPr>
        <w:rPr>
          <w:sz w:val="22"/>
          <w:szCs w:val="22"/>
        </w:rPr>
      </w:pPr>
    </w:p>
    <w:p w14:paraId="02CACB66" w14:textId="77777777" w:rsidR="00C73D59" w:rsidRDefault="00C73D59" w:rsidP="007F524C"/>
    <w:p w14:paraId="4D37DFC8" w14:textId="77777777" w:rsidR="008F02B8" w:rsidRPr="008F02B8" w:rsidRDefault="008F02B8" w:rsidP="007F524C">
      <w:pPr>
        <w:rPr>
          <w:sz w:val="12"/>
          <w:szCs w:val="12"/>
        </w:rPr>
      </w:pPr>
    </w:p>
    <w:p w14:paraId="6ADA8A9A" w14:textId="4D522984" w:rsidR="00626512" w:rsidRPr="0046247F" w:rsidRDefault="00626512" w:rsidP="00626512">
      <w:pPr>
        <w:autoSpaceDE w:val="0"/>
        <w:autoSpaceDN w:val="0"/>
        <w:adjustRightInd w:val="0"/>
        <w:rPr>
          <w:sz w:val="22"/>
          <w:szCs w:val="22"/>
          <w:lang w:eastAsia="en-CA"/>
        </w:rPr>
      </w:pPr>
      <w:r w:rsidRPr="0046247F">
        <w:rPr>
          <w:sz w:val="22"/>
          <w:szCs w:val="22"/>
          <w:lang w:eastAsia="en-CA"/>
        </w:rPr>
        <w:t>The WSIB announced that, after decades of over taxing employers in the name of Unfunded Liability (UFL) compensation, they are now operating without an UFL. The UFL – the shortfall between the money needed to pay future benefits and the money in the insurance fund –</w:t>
      </w:r>
      <w:r>
        <w:rPr>
          <w:sz w:val="22"/>
          <w:szCs w:val="22"/>
          <w:lang w:eastAsia="en-CA"/>
        </w:rPr>
        <w:t xml:space="preserve"> has</w:t>
      </w:r>
      <w:r w:rsidRPr="0046247F">
        <w:rPr>
          <w:sz w:val="22"/>
          <w:szCs w:val="22"/>
          <w:lang w:eastAsia="en-CA"/>
        </w:rPr>
        <w:t xml:space="preserve"> existed for decades and reached a high of $14.2 billion in 2011.</w:t>
      </w:r>
      <w:r>
        <w:rPr>
          <w:sz w:val="22"/>
          <w:szCs w:val="22"/>
          <w:lang w:eastAsia="en-CA"/>
        </w:rPr>
        <w:t xml:space="preserve"> </w:t>
      </w:r>
      <w:r w:rsidR="00A950ED">
        <w:rPr>
          <w:sz w:val="22"/>
          <w:szCs w:val="22"/>
          <w:lang w:eastAsia="en-CA"/>
        </w:rPr>
        <w:t>To</w:t>
      </w:r>
      <w:r>
        <w:rPr>
          <w:sz w:val="22"/>
          <w:szCs w:val="22"/>
          <w:lang w:eastAsia="en-CA"/>
        </w:rPr>
        <w:t xml:space="preserve"> pay down this debt, the WSIB began including a surcharge into all employer premium rates (know as Past Claims Cost), which peaked for the construction industry at close to 50% of the premium rate over the last decade. Now, with this debt paid off, </w:t>
      </w:r>
      <w:r w:rsidRPr="0046247F">
        <w:rPr>
          <w:sz w:val="22"/>
          <w:szCs w:val="22"/>
          <w:lang w:eastAsia="en-CA"/>
        </w:rPr>
        <w:t>Ontario businesses</w:t>
      </w:r>
      <w:r>
        <w:rPr>
          <w:sz w:val="22"/>
          <w:szCs w:val="22"/>
          <w:lang w:eastAsia="en-CA"/>
        </w:rPr>
        <w:t xml:space="preserve"> </w:t>
      </w:r>
      <w:r w:rsidRPr="0046247F">
        <w:rPr>
          <w:sz w:val="22"/>
          <w:szCs w:val="22"/>
          <w:lang w:eastAsia="en-CA"/>
        </w:rPr>
        <w:t>will see a significant reduction to the</w:t>
      </w:r>
      <w:r>
        <w:rPr>
          <w:sz w:val="22"/>
          <w:szCs w:val="22"/>
          <w:lang w:eastAsia="en-CA"/>
        </w:rPr>
        <w:t>ir</w:t>
      </w:r>
      <w:r w:rsidRPr="0046247F">
        <w:rPr>
          <w:sz w:val="22"/>
          <w:szCs w:val="22"/>
          <w:lang w:eastAsia="en-CA"/>
        </w:rPr>
        <w:t xml:space="preserve"> premium rate</w:t>
      </w:r>
      <w:r>
        <w:rPr>
          <w:sz w:val="22"/>
          <w:szCs w:val="22"/>
          <w:lang w:eastAsia="en-CA"/>
        </w:rPr>
        <w:t>s</w:t>
      </w:r>
      <w:r w:rsidRPr="0046247F">
        <w:rPr>
          <w:sz w:val="22"/>
          <w:szCs w:val="22"/>
          <w:lang w:eastAsia="en-CA"/>
        </w:rPr>
        <w:t xml:space="preserve"> in 2019. </w:t>
      </w:r>
    </w:p>
    <w:p w14:paraId="5D0417BA" w14:textId="77777777" w:rsidR="00626512" w:rsidRPr="0046247F" w:rsidRDefault="00626512" w:rsidP="00626512">
      <w:pPr>
        <w:autoSpaceDE w:val="0"/>
        <w:autoSpaceDN w:val="0"/>
        <w:adjustRightInd w:val="0"/>
        <w:rPr>
          <w:sz w:val="22"/>
          <w:szCs w:val="22"/>
          <w:lang w:eastAsia="en-CA"/>
        </w:rPr>
      </w:pPr>
    </w:p>
    <w:p w14:paraId="64DD7E7A" w14:textId="765878AB" w:rsidR="00626512" w:rsidRPr="00D75642" w:rsidRDefault="00626512" w:rsidP="00626512">
      <w:pPr>
        <w:autoSpaceDE w:val="0"/>
        <w:autoSpaceDN w:val="0"/>
        <w:adjustRightInd w:val="0"/>
        <w:rPr>
          <w:sz w:val="22"/>
          <w:szCs w:val="22"/>
          <w:lang w:eastAsia="en-CA"/>
        </w:rPr>
      </w:pPr>
      <w:r w:rsidRPr="0046247F">
        <w:rPr>
          <w:sz w:val="22"/>
          <w:szCs w:val="22"/>
          <w:lang w:eastAsia="en-CA"/>
        </w:rPr>
        <w:t xml:space="preserve">More specifically, employers in the rate groups of </w:t>
      </w:r>
      <w:r>
        <w:rPr>
          <w:sz w:val="22"/>
          <w:szCs w:val="22"/>
          <w:lang w:eastAsia="en-CA"/>
        </w:rPr>
        <w:t>R</w:t>
      </w:r>
      <w:r w:rsidRPr="0046247F">
        <w:rPr>
          <w:sz w:val="22"/>
          <w:szCs w:val="22"/>
          <w:lang w:eastAsia="en-CA"/>
        </w:rPr>
        <w:t xml:space="preserve">oadbuilding and </w:t>
      </w:r>
      <w:r>
        <w:rPr>
          <w:sz w:val="22"/>
          <w:szCs w:val="22"/>
          <w:lang w:eastAsia="en-CA"/>
        </w:rPr>
        <w:t>E</w:t>
      </w:r>
      <w:r w:rsidRPr="0046247F">
        <w:rPr>
          <w:sz w:val="22"/>
          <w:szCs w:val="22"/>
          <w:lang w:eastAsia="en-CA"/>
        </w:rPr>
        <w:t>xcavati</w:t>
      </w:r>
      <w:r>
        <w:rPr>
          <w:sz w:val="22"/>
          <w:szCs w:val="22"/>
          <w:lang w:eastAsia="en-CA"/>
        </w:rPr>
        <w:t>ng (711)</w:t>
      </w:r>
      <w:r w:rsidRPr="0046247F">
        <w:rPr>
          <w:sz w:val="22"/>
          <w:szCs w:val="22"/>
          <w:lang w:eastAsia="en-CA"/>
        </w:rPr>
        <w:t xml:space="preserve"> and </w:t>
      </w:r>
      <w:r>
        <w:rPr>
          <w:sz w:val="22"/>
          <w:szCs w:val="22"/>
          <w:lang w:eastAsia="en-CA"/>
        </w:rPr>
        <w:t>H</w:t>
      </w:r>
      <w:r w:rsidRPr="0046247F">
        <w:rPr>
          <w:sz w:val="22"/>
          <w:szCs w:val="22"/>
          <w:lang w:eastAsia="en-CA"/>
        </w:rPr>
        <w:t xml:space="preserve">eavy </w:t>
      </w:r>
      <w:r>
        <w:rPr>
          <w:sz w:val="22"/>
          <w:szCs w:val="22"/>
          <w:lang w:eastAsia="en-CA"/>
        </w:rPr>
        <w:t>C</w:t>
      </w:r>
      <w:r w:rsidRPr="0046247F">
        <w:rPr>
          <w:sz w:val="22"/>
          <w:szCs w:val="22"/>
          <w:lang w:eastAsia="en-CA"/>
        </w:rPr>
        <w:t xml:space="preserve">ivil </w:t>
      </w:r>
      <w:r>
        <w:rPr>
          <w:sz w:val="22"/>
          <w:szCs w:val="22"/>
          <w:lang w:eastAsia="en-CA"/>
        </w:rPr>
        <w:t>C</w:t>
      </w:r>
      <w:r w:rsidRPr="0046247F">
        <w:rPr>
          <w:sz w:val="22"/>
          <w:szCs w:val="22"/>
          <w:lang w:eastAsia="en-CA"/>
        </w:rPr>
        <w:t>onstruction</w:t>
      </w:r>
      <w:r>
        <w:rPr>
          <w:sz w:val="22"/>
          <w:szCs w:val="22"/>
          <w:lang w:eastAsia="en-CA"/>
        </w:rPr>
        <w:t xml:space="preserve"> (732)</w:t>
      </w:r>
      <w:r w:rsidRPr="0046247F">
        <w:rPr>
          <w:sz w:val="22"/>
          <w:szCs w:val="22"/>
          <w:lang w:eastAsia="en-CA"/>
        </w:rPr>
        <w:t xml:space="preserve"> will see</w:t>
      </w:r>
      <w:r>
        <w:rPr>
          <w:sz w:val="22"/>
          <w:szCs w:val="22"/>
          <w:lang w:eastAsia="en-CA"/>
        </w:rPr>
        <w:t xml:space="preserve"> their premium rates reduced by </w:t>
      </w:r>
      <w:r w:rsidRPr="00D75642">
        <w:rPr>
          <w:sz w:val="22"/>
          <w:szCs w:val="22"/>
          <w:lang w:eastAsia="en-CA"/>
        </w:rPr>
        <w:t>33.8 percent and 38 percent respectively on January 1, 2019.</w:t>
      </w:r>
    </w:p>
    <w:p w14:paraId="39887938" w14:textId="77777777" w:rsidR="006E7884" w:rsidRPr="00E879F6" w:rsidRDefault="006E7884" w:rsidP="00626512">
      <w:pPr>
        <w:rPr>
          <w:sz w:val="10"/>
          <w:szCs w:val="12"/>
        </w:rPr>
      </w:pPr>
    </w:p>
    <w:tbl>
      <w:tblPr>
        <w:tblW w:w="9442" w:type="dxa"/>
        <w:tblCellSpacing w:w="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111"/>
        <w:gridCol w:w="1622"/>
        <w:gridCol w:w="1459"/>
        <w:gridCol w:w="2141"/>
      </w:tblGrid>
      <w:tr w:rsidR="008F02B8" w:rsidRPr="00E879F6" w14:paraId="42D296E3" w14:textId="77777777" w:rsidTr="008F02B8">
        <w:trPr>
          <w:trHeight w:val="280"/>
          <w:tblCellSpacing w:w="0" w:type="dxa"/>
        </w:trPr>
        <w:tc>
          <w:tcPr>
            <w:tcW w:w="11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C6D9F1" w:themeFill="text2" w:themeFillTint="33"/>
            <w:vAlign w:val="center"/>
            <w:hideMark/>
          </w:tcPr>
          <w:p w14:paraId="439F28FE" w14:textId="77777777" w:rsidR="008F02B8" w:rsidRPr="00E879F6" w:rsidRDefault="008F02B8" w:rsidP="00626512">
            <w:pPr>
              <w:jc w:val="center"/>
              <w:rPr>
                <w:rFonts w:eastAsia="Times New Roman"/>
                <w:b/>
                <w:sz w:val="22"/>
                <w:lang w:eastAsia="en-CA"/>
              </w:rPr>
            </w:pPr>
            <w:r w:rsidRPr="00E879F6">
              <w:rPr>
                <w:rFonts w:eastAsia="Times New Roman"/>
                <w:b/>
                <w:sz w:val="22"/>
                <w:lang w:eastAsia="en-CA"/>
              </w:rPr>
              <w:t>Rate Group #</w:t>
            </w:r>
          </w:p>
        </w:tc>
        <w:tc>
          <w:tcPr>
            <w:tcW w:w="31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C6D9F1" w:themeFill="text2" w:themeFillTint="33"/>
            <w:vAlign w:val="center"/>
            <w:hideMark/>
          </w:tcPr>
          <w:p w14:paraId="4BF47555" w14:textId="77777777" w:rsidR="008F02B8" w:rsidRPr="00E879F6" w:rsidRDefault="008F02B8" w:rsidP="00626512">
            <w:pPr>
              <w:jc w:val="center"/>
              <w:rPr>
                <w:rFonts w:eastAsia="Times New Roman"/>
                <w:b/>
                <w:sz w:val="22"/>
                <w:lang w:eastAsia="en-CA"/>
              </w:rPr>
            </w:pPr>
            <w:r w:rsidRPr="00E879F6">
              <w:rPr>
                <w:rFonts w:eastAsia="Times New Roman"/>
                <w:b/>
                <w:sz w:val="22"/>
                <w:lang w:eastAsia="en-CA"/>
              </w:rPr>
              <w:t>Description</w:t>
            </w:r>
          </w:p>
        </w:tc>
        <w:tc>
          <w:tcPr>
            <w:tcW w:w="1622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C6D9F1" w:themeFill="text2" w:themeFillTint="33"/>
            <w:vAlign w:val="center"/>
            <w:hideMark/>
          </w:tcPr>
          <w:p w14:paraId="7C462EA5" w14:textId="55E13E85" w:rsidR="008F02B8" w:rsidRPr="00E879F6" w:rsidRDefault="008F02B8" w:rsidP="00626512">
            <w:pPr>
              <w:jc w:val="center"/>
              <w:rPr>
                <w:rFonts w:eastAsia="Times New Roman"/>
                <w:b/>
                <w:sz w:val="22"/>
                <w:lang w:eastAsia="en-CA"/>
              </w:rPr>
            </w:pPr>
            <w:r w:rsidRPr="00E879F6">
              <w:rPr>
                <w:rFonts w:eastAsia="Times New Roman"/>
                <w:b/>
                <w:sz w:val="22"/>
                <w:lang w:eastAsia="en-CA"/>
              </w:rPr>
              <w:t>2018 Premium Rate</w:t>
            </w:r>
            <w:r w:rsidRPr="00E879F6">
              <w:rPr>
                <w:rFonts w:eastAsia="Times New Roman"/>
                <w:b/>
                <w:sz w:val="22"/>
                <w:lang w:eastAsia="en-CA"/>
              </w:rPr>
              <w:br/>
              <w:t>(%)</w:t>
            </w:r>
          </w:p>
        </w:tc>
        <w:tc>
          <w:tcPr>
            <w:tcW w:w="14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C6D9F1" w:themeFill="text2" w:themeFillTint="33"/>
          </w:tcPr>
          <w:p w14:paraId="43C90D38" w14:textId="77777777" w:rsidR="008F02B8" w:rsidRPr="00E879F6" w:rsidRDefault="008F02B8" w:rsidP="00626512">
            <w:pPr>
              <w:jc w:val="center"/>
              <w:rPr>
                <w:rFonts w:eastAsia="Times New Roman"/>
                <w:b/>
                <w:sz w:val="22"/>
                <w:lang w:eastAsia="en-CA"/>
              </w:rPr>
            </w:pPr>
            <w:r w:rsidRPr="00E879F6">
              <w:rPr>
                <w:rFonts w:eastAsia="Times New Roman"/>
                <w:b/>
                <w:sz w:val="22"/>
                <w:lang w:eastAsia="en-CA"/>
              </w:rPr>
              <w:t>2019 Premium Rate</w:t>
            </w:r>
          </w:p>
          <w:p w14:paraId="6213EA38" w14:textId="772D6FA8" w:rsidR="008F02B8" w:rsidRPr="00E879F6" w:rsidRDefault="008F02B8" w:rsidP="00626512">
            <w:pPr>
              <w:jc w:val="center"/>
              <w:rPr>
                <w:rFonts w:eastAsia="Times New Roman"/>
                <w:b/>
                <w:sz w:val="22"/>
                <w:lang w:eastAsia="en-CA"/>
              </w:rPr>
            </w:pPr>
            <w:r w:rsidRPr="00E879F6">
              <w:rPr>
                <w:rFonts w:eastAsia="Times New Roman"/>
                <w:b/>
                <w:sz w:val="22"/>
                <w:lang w:eastAsia="en-CA"/>
              </w:rPr>
              <w:t>(%)</w:t>
            </w:r>
          </w:p>
        </w:tc>
        <w:tc>
          <w:tcPr>
            <w:tcW w:w="214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C6D9F1" w:themeFill="text2" w:themeFillTint="33"/>
          </w:tcPr>
          <w:p w14:paraId="0E5BB0EA" w14:textId="77777777" w:rsidR="008F02B8" w:rsidRPr="00E879F6" w:rsidRDefault="008F02B8" w:rsidP="00626512">
            <w:pPr>
              <w:jc w:val="center"/>
              <w:rPr>
                <w:rFonts w:eastAsia="Times New Roman"/>
                <w:b/>
                <w:sz w:val="22"/>
                <w:lang w:eastAsia="en-CA"/>
              </w:rPr>
            </w:pPr>
          </w:p>
          <w:p w14:paraId="2B7857F2" w14:textId="25216CE7" w:rsidR="008F02B8" w:rsidRPr="00E879F6" w:rsidRDefault="008F02B8" w:rsidP="00626512">
            <w:pPr>
              <w:jc w:val="center"/>
              <w:rPr>
                <w:rFonts w:eastAsia="Times New Roman"/>
                <w:b/>
                <w:sz w:val="22"/>
                <w:lang w:eastAsia="en-CA"/>
              </w:rPr>
            </w:pPr>
            <w:r w:rsidRPr="00E879F6">
              <w:rPr>
                <w:rFonts w:eastAsia="Times New Roman"/>
                <w:b/>
                <w:sz w:val="22"/>
                <w:lang w:eastAsia="en-CA"/>
              </w:rPr>
              <w:t>Percentage Change</w:t>
            </w:r>
          </w:p>
        </w:tc>
      </w:tr>
      <w:tr w:rsidR="008F02B8" w:rsidRPr="00E879F6" w14:paraId="39BE99F8" w14:textId="77777777" w:rsidTr="008F02B8">
        <w:trPr>
          <w:trHeight w:val="280"/>
          <w:tblCellSpacing w:w="0" w:type="dxa"/>
        </w:trPr>
        <w:tc>
          <w:tcPr>
            <w:tcW w:w="11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23F3503E" w14:textId="77777777" w:rsidR="008F02B8" w:rsidRPr="00E879F6" w:rsidRDefault="008F02B8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 w:rsidRPr="00E879F6">
              <w:rPr>
                <w:rFonts w:eastAsia="Times New Roman"/>
                <w:sz w:val="22"/>
                <w:lang w:eastAsia="en-CA"/>
              </w:rPr>
              <w:t>711</w:t>
            </w:r>
          </w:p>
        </w:tc>
        <w:tc>
          <w:tcPr>
            <w:tcW w:w="31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485A22D4" w14:textId="77777777" w:rsidR="008F02B8" w:rsidRPr="00E879F6" w:rsidRDefault="008F02B8" w:rsidP="00626512">
            <w:pPr>
              <w:ind w:left="127"/>
              <w:rPr>
                <w:rFonts w:eastAsia="Times New Roman"/>
                <w:sz w:val="22"/>
                <w:lang w:eastAsia="en-CA"/>
              </w:rPr>
            </w:pPr>
            <w:r w:rsidRPr="00E879F6">
              <w:rPr>
                <w:rFonts w:eastAsia="Times New Roman"/>
                <w:sz w:val="22"/>
                <w:lang w:eastAsia="en-CA"/>
              </w:rPr>
              <w:t>Roadbuilding And Excavating</w:t>
            </w:r>
          </w:p>
        </w:tc>
        <w:tc>
          <w:tcPr>
            <w:tcW w:w="1622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44F703B8" w14:textId="1B266D5C" w:rsidR="008F02B8" w:rsidRPr="00E879F6" w:rsidRDefault="008F02B8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 w:rsidRPr="00E879F6">
              <w:rPr>
                <w:rFonts w:eastAsia="Times New Roman"/>
                <w:sz w:val="22"/>
                <w:lang w:eastAsia="en-CA"/>
              </w:rPr>
              <w:t>4.5</w:t>
            </w:r>
          </w:p>
        </w:tc>
        <w:tc>
          <w:tcPr>
            <w:tcW w:w="14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67B9D656" w14:textId="3E92A73C" w:rsidR="008F02B8" w:rsidRPr="00E879F6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>2.98</w:t>
            </w:r>
          </w:p>
        </w:tc>
        <w:tc>
          <w:tcPr>
            <w:tcW w:w="214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5356887A" w14:textId="7CDD0BE1" w:rsidR="008F02B8" w:rsidRPr="00E879F6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>- 33.8%</w:t>
            </w:r>
          </w:p>
        </w:tc>
      </w:tr>
      <w:tr w:rsidR="008F02B8" w:rsidRPr="00E879F6" w14:paraId="3D5F1E39" w14:textId="77777777" w:rsidTr="008F02B8">
        <w:trPr>
          <w:trHeight w:val="280"/>
          <w:tblCellSpacing w:w="0" w:type="dxa"/>
        </w:trPr>
        <w:tc>
          <w:tcPr>
            <w:tcW w:w="11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60259D47" w14:textId="77777777" w:rsidR="008F02B8" w:rsidRPr="00E879F6" w:rsidRDefault="008F02B8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 w:rsidRPr="00E879F6">
              <w:rPr>
                <w:rFonts w:eastAsia="Times New Roman"/>
                <w:sz w:val="22"/>
                <w:lang w:eastAsia="en-CA"/>
              </w:rPr>
              <w:t>732</w:t>
            </w:r>
          </w:p>
        </w:tc>
        <w:tc>
          <w:tcPr>
            <w:tcW w:w="31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1E0F92FF" w14:textId="77777777" w:rsidR="008F02B8" w:rsidRPr="00E879F6" w:rsidRDefault="008F02B8" w:rsidP="00626512">
            <w:pPr>
              <w:ind w:left="127"/>
              <w:rPr>
                <w:rFonts w:eastAsia="Times New Roman"/>
                <w:sz w:val="22"/>
                <w:lang w:eastAsia="en-CA"/>
              </w:rPr>
            </w:pPr>
            <w:r w:rsidRPr="00E879F6">
              <w:rPr>
                <w:rFonts w:eastAsia="Times New Roman"/>
                <w:sz w:val="22"/>
                <w:lang w:eastAsia="en-CA"/>
              </w:rPr>
              <w:t>Heavy Civil Construction</w:t>
            </w:r>
          </w:p>
        </w:tc>
        <w:tc>
          <w:tcPr>
            <w:tcW w:w="1622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5687112F" w14:textId="2C3E1D9E" w:rsidR="008F02B8" w:rsidRPr="00E879F6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>5.98</w:t>
            </w:r>
          </w:p>
        </w:tc>
        <w:tc>
          <w:tcPr>
            <w:tcW w:w="14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13DA40BE" w14:textId="3C770F4C" w:rsidR="008F02B8" w:rsidRPr="00E879F6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>3.71</w:t>
            </w:r>
          </w:p>
        </w:tc>
        <w:tc>
          <w:tcPr>
            <w:tcW w:w="214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16AB1C08" w14:textId="471D9F43" w:rsidR="008F02B8" w:rsidRPr="00E879F6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>- 38.0 %</w:t>
            </w:r>
          </w:p>
        </w:tc>
      </w:tr>
      <w:tr w:rsidR="008F02B8" w:rsidRPr="00E879F6" w14:paraId="0F993CF4" w14:textId="77777777" w:rsidTr="008F02B8">
        <w:trPr>
          <w:trHeight w:val="280"/>
          <w:tblCellSpacing w:w="0" w:type="dxa"/>
        </w:trPr>
        <w:tc>
          <w:tcPr>
            <w:tcW w:w="11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051736D8" w14:textId="77777777" w:rsidR="008F02B8" w:rsidRPr="00E879F6" w:rsidRDefault="008F02B8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 w:rsidRPr="00E879F6">
              <w:rPr>
                <w:rFonts w:eastAsia="Times New Roman"/>
                <w:sz w:val="22"/>
                <w:lang w:eastAsia="en-CA"/>
              </w:rPr>
              <w:t>755</w:t>
            </w:r>
          </w:p>
        </w:tc>
        <w:tc>
          <w:tcPr>
            <w:tcW w:w="31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669FB08B" w14:textId="77777777" w:rsidR="008F02B8" w:rsidRPr="00E879F6" w:rsidRDefault="008F02B8" w:rsidP="00626512">
            <w:pPr>
              <w:ind w:left="127"/>
              <w:rPr>
                <w:rFonts w:eastAsia="Times New Roman"/>
                <w:sz w:val="22"/>
                <w:lang w:eastAsia="en-CA"/>
              </w:rPr>
            </w:pPr>
            <w:r w:rsidRPr="00E879F6">
              <w:rPr>
                <w:rFonts w:eastAsia="Times New Roman"/>
                <w:sz w:val="22"/>
                <w:lang w:eastAsia="en-CA"/>
              </w:rPr>
              <w:t>Non-Exempt Partners and Executive Officers in Construction</w:t>
            </w:r>
          </w:p>
        </w:tc>
        <w:tc>
          <w:tcPr>
            <w:tcW w:w="1622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auto"/>
            <w:vAlign w:val="center"/>
            <w:hideMark/>
          </w:tcPr>
          <w:p w14:paraId="1744A78E" w14:textId="6602FCE7" w:rsidR="008F02B8" w:rsidRPr="00E879F6" w:rsidRDefault="008F02B8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 w:rsidRPr="00E879F6">
              <w:rPr>
                <w:rFonts w:eastAsia="Times New Roman"/>
                <w:sz w:val="22"/>
                <w:lang w:eastAsia="en-CA"/>
              </w:rPr>
              <w:t>0.19</w:t>
            </w:r>
          </w:p>
        </w:tc>
        <w:tc>
          <w:tcPr>
            <w:tcW w:w="14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2018865B" w14:textId="77777777" w:rsidR="00265EFC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</w:p>
          <w:p w14:paraId="0F5883BC" w14:textId="1D855B9E" w:rsidR="008F02B8" w:rsidRPr="00E879F6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>0.13</w:t>
            </w:r>
          </w:p>
        </w:tc>
        <w:tc>
          <w:tcPr>
            <w:tcW w:w="214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6164801F" w14:textId="77777777" w:rsidR="00265EFC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</w:p>
          <w:p w14:paraId="3FDCAB02" w14:textId="30204785" w:rsidR="008F02B8" w:rsidRPr="00E879F6" w:rsidRDefault="00265EFC" w:rsidP="00626512">
            <w:pPr>
              <w:jc w:val="center"/>
              <w:rPr>
                <w:rFonts w:eastAsia="Times New Roman"/>
                <w:sz w:val="22"/>
                <w:lang w:eastAsia="en-CA"/>
              </w:rPr>
            </w:pPr>
            <w:r>
              <w:rPr>
                <w:rFonts w:eastAsia="Times New Roman"/>
                <w:sz w:val="22"/>
                <w:lang w:eastAsia="en-CA"/>
              </w:rPr>
              <w:t>- 31.6%</w:t>
            </w:r>
          </w:p>
        </w:tc>
      </w:tr>
    </w:tbl>
    <w:p w14:paraId="486B4A16" w14:textId="77777777" w:rsidR="00626512" w:rsidRDefault="00626512" w:rsidP="00626512">
      <w:pPr>
        <w:rPr>
          <w:sz w:val="22"/>
        </w:rPr>
      </w:pPr>
    </w:p>
    <w:p w14:paraId="227F023F" w14:textId="007E7ADA" w:rsidR="00626512" w:rsidRPr="00E879F6" w:rsidRDefault="00626512" w:rsidP="00626512">
      <w:pPr>
        <w:rPr>
          <w:sz w:val="22"/>
        </w:rPr>
      </w:pPr>
      <w:r w:rsidRPr="00E879F6">
        <w:rPr>
          <w:sz w:val="22"/>
        </w:rPr>
        <w:t>The maximum insurable earnings</w:t>
      </w:r>
      <w:r w:rsidR="0085667B">
        <w:rPr>
          <w:sz w:val="22"/>
        </w:rPr>
        <w:t xml:space="preserve"> (IE)</w:t>
      </w:r>
      <w:r w:rsidRPr="00E879F6">
        <w:rPr>
          <w:sz w:val="22"/>
        </w:rPr>
        <w:t xml:space="preserve"> ceiling will be increasing by </w:t>
      </w:r>
      <w:r w:rsidRPr="00D75642">
        <w:rPr>
          <w:sz w:val="22"/>
        </w:rPr>
        <w:t>2.5</w:t>
      </w:r>
      <w:r w:rsidR="00B3474B" w:rsidRPr="00D75642">
        <w:rPr>
          <w:sz w:val="22"/>
        </w:rPr>
        <w:t>4</w:t>
      </w:r>
      <w:r w:rsidRPr="00B3474B">
        <w:rPr>
          <w:sz w:val="22"/>
        </w:rPr>
        <w:t xml:space="preserve">% to </w:t>
      </w:r>
      <w:r w:rsidRPr="00D75642">
        <w:rPr>
          <w:sz w:val="22"/>
        </w:rPr>
        <w:t>$92,600</w:t>
      </w:r>
      <w:r w:rsidRPr="00B3474B">
        <w:rPr>
          <w:sz w:val="22"/>
        </w:rPr>
        <w:t xml:space="preserve"> (up from $90,300 in 2018).</w:t>
      </w:r>
      <w:r w:rsidRPr="00E879F6">
        <w:rPr>
          <w:sz w:val="22"/>
        </w:rPr>
        <w:t xml:space="preserve"> </w:t>
      </w:r>
      <w:r w:rsidR="0085667B">
        <w:rPr>
          <w:sz w:val="22"/>
        </w:rPr>
        <w:t xml:space="preserve">However, due to the rate decrease, </w:t>
      </w:r>
      <w:r w:rsidR="0085667B" w:rsidRPr="00D75642">
        <w:rPr>
          <w:b/>
          <w:sz w:val="22"/>
        </w:rPr>
        <w:t>a worker earning at or above the IE ceiling will see their overall dollar cost decrease by $1304.02 in RG711 and $1964.48 in RG 732</w:t>
      </w:r>
      <w:r w:rsidR="004F247F" w:rsidRPr="00D75642">
        <w:rPr>
          <w:b/>
          <w:sz w:val="22"/>
        </w:rPr>
        <w:t>.</w:t>
      </w:r>
      <w:r w:rsidR="004F247F">
        <w:rPr>
          <w:sz w:val="22"/>
        </w:rPr>
        <w:t xml:space="preserve"> For Executive Officers in RG 755, their overall cost will decrease by $51.19 per person. </w:t>
      </w:r>
    </w:p>
    <w:p w14:paraId="23BA95DC" w14:textId="77777777" w:rsidR="003F45A4" w:rsidRPr="00E879F6" w:rsidRDefault="003F45A4" w:rsidP="007F524C">
      <w:pPr>
        <w:rPr>
          <w:sz w:val="22"/>
        </w:rPr>
      </w:pPr>
    </w:p>
    <w:p w14:paraId="1FD2B1B8" w14:textId="2F5E7B91" w:rsidR="007F524C" w:rsidRPr="00E879F6" w:rsidRDefault="00771CEC" w:rsidP="007F524C">
      <w:pPr>
        <w:rPr>
          <w:sz w:val="22"/>
        </w:rPr>
      </w:pPr>
      <w:r w:rsidRPr="00E879F6">
        <w:rPr>
          <w:sz w:val="22"/>
        </w:rPr>
        <w:t xml:space="preserve">As a member of the Construction Employers Coalition, OSWCA </w:t>
      </w:r>
      <w:r w:rsidR="00BF5FA2" w:rsidRPr="00E879F6">
        <w:rPr>
          <w:sz w:val="22"/>
        </w:rPr>
        <w:t>continues</w:t>
      </w:r>
      <w:r w:rsidRPr="00E879F6">
        <w:rPr>
          <w:sz w:val="22"/>
        </w:rPr>
        <w:t xml:space="preserve"> to advocate </w:t>
      </w:r>
      <w:r w:rsidR="003F45A4" w:rsidRPr="00E879F6">
        <w:rPr>
          <w:sz w:val="22"/>
        </w:rPr>
        <w:t xml:space="preserve">around establishing fair rates that are commensurate with the risk that a company brings to the insurance system. Significant reforms continue to be in the works at the WSIB, with a Rate Framework modernization expected by 2020. </w:t>
      </w:r>
    </w:p>
    <w:p w14:paraId="70F8A9DF" w14:textId="77777777" w:rsidR="009D5A38" w:rsidRPr="00E879F6" w:rsidRDefault="009D5A38" w:rsidP="007F524C">
      <w:pPr>
        <w:rPr>
          <w:sz w:val="22"/>
        </w:rPr>
      </w:pPr>
    </w:p>
    <w:p w14:paraId="0E99BB8A" w14:textId="193C87F7" w:rsidR="00963D7E" w:rsidRPr="00E879F6" w:rsidRDefault="008722CA" w:rsidP="00002A50">
      <w:pPr>
        <w:autoSpaceDE w:val="0"/>
        <w:autoSpaceDN w:val="0"/>
        <w:adjustRightInd w:val="0"/>
        <w:rPr>
          <w:color w:val="000000"/>
          <w:sz w:val="22"/>
        </w:rPr>
      </w:pPr>
      <w:r w:rsidRPr="00E879F6">
        <w:rPr>
          <w:color w:val="000000"/>
          <w:sz w:val="22"/>
        </w:rPr>
        <w:t>If you have any questions about the 201</w:t>
      </w:r>
      <w:r w:rsidR="00E879F6" w:rsidRPr="00E879F6">
        <w:rPr>
          <w:color w:val="000000"/>
          <w:sz w:val="22"/>
        </w:rPr>
        <w:t>9</w:t>
      </w:r>
      <w:r w:rsidRPr="00E879F6">
        <w:rPr>
          <w:color w:val="000000"/>
          <w:sz w:val="22"/>
        </w:rPr>
        <w:t xml:space="preserve"> Premium Rates or the</w:t>
      </w:r>
      <w:r w:rsidR="00E879F6" w:rsidRPr="00E879F6">
        <w:rPr>
          <w:color w:val="000000"/>
          <w:sz w:val="22"/>
        </w:rPr>
        <w:t xml:space="preserve"> upcoming Rate Framework modernization</w:t>
      </w:r>
      <w:r w:rsidRPr="00E879F6">
        <w:rPr>
          <w:color w:val="000000"/>
          <w:sz w:val="22"/>
        </w:rPr>
        <w:t xml:space="preserve">, please contact Patrick </w:t>
      </w:r>
      <w:r w:rsidR="003072DD">
        <w:rPr>
          <w:color w:val="000000"/>
          <w:sz w:val="22"/>
        </w:rPr>
        <w:t xml:space="preserve">McManus </w:t>
      </w:r>
      <w:r w:rsidRPr="00E879F6">
        <w:rPr>
          <w:color w:val="000000"/>
          <w:sz w:val="22"/>
        </w:rPr>
        <w:t>at 905-</w:t>
      </w:r>
      <w:r w:rsidR="003072DD">
        <w:rPr>
          <w:color w:val="000000"/>
          <w:sz w:val="22"/>
        </w:rPr>
        <w:t>629-7766</w:t>
      </w:r>
      <w:r w:rsidRPr="00E879F6">
        <w:rPr>
          <w:color w:val="000000"/>
          <w:sz w:val="22"/>
        </w:rPr>
        <w:t xml:space="preserve"> </w:t>
      </w:r>
      <w:r w:rsidR="00A462D7">
        <w:rPr>
          <w:color w:val="000000"/>
          <w:sz w:val="22"/>
        </w:rPr>
        <w:t>ext.</w:t>
      </w:r>
      <w:bookmarkStart w:id="0" w:name="_GoBack"/>
      <w:bookmarkEnd w:id="0"/>
      <w:r w:rsidR="00A462D7">
        <w:rPr>
          <w:color w:val="000000"/>
          <w:sz w:val="22"/>
        </w:rPr>
        <w:t xml:space="preserve"> 222 </w:t>
      </w:r>
      <w:r w:rsidRPr="00E879F6">
        <w:rPr>
          <w:color w:val="000000"/>
          <w:sz w:val="22"/>
        </w:rPr>
        <w:t xml:space="preserve">or </w:t>
      </w:r>
      <w:hyperlink r:id="rId7" w:history="1">
        <w:r w:rsidRPr="00E879F6">
          <w:rPr>
            <w:rStyle w:val="Hyperlink"/>
            <w:sz w:val="22"/>
          </w:rPr>
          <w:t>patrick.mcmanus@oswca.org</w:t>
        </w:r>
      </w:hyperlink>
      <w:r w:rsidRPr="00E879F6">
        <w:rPr>
          <w:color w:val="000000"/>
          <w:sz w:val="22"/>
        </w:rPr>
        <w:t xml:space="preserve">. </w:t>
      </w:r>
    </w:p>
    <w:p w14:paraId="3ABC436C" w14:textId="77777777" w:rsidR="007C01BC" w:rsidRPr="00E879F6" w:rsidRDefault="007C01BC">
      <w:pPr>
        <w:autoSpaceDE w:val="0"/>
        <w:autoSpaceDN w:val="0"/>
        <w:adjustRightInd w:val="0"/>
        <w:rPr>
          <w:color w:val="000000"/>
          <w:sz w:val="22"/>
        </w:rPr>
      </w:pPr>
    </w:p>
    <w:sectPr w:rsidR="007C01BC" w:rsidRPr="00E879F6" w:rsidSect="00160A4A">
      <w:headerReference w:type="default" r:id="rId8"/>
      <w:footerReference w:type="default" r:id="rId9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659" w14:textId="77777777" w:rsidR="00ED48FB" w:rsidRDefault="00ED48FB" w:rsidP="00160A4A">
      <w:r>
        <w:separator/>
      </w:r>
    </w:p>
  </w:endnote>
  <w:endnote w:type="continuationSeparator" w:id="0">
    <w:p w14:paraId="2BE9749C" w14:textId="77777777" w:rsidR="00ED48FB" w:rsidRDefault="00ED48FB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BFDC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5EE8EE17" wp14:editId="2902D0E2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1E40" w14:textId="77777777" w:rsidR="00ED48FB" w:rsidRDefault="00ED48FB" w:rsidP="00160A4A">
      <w:r>
        <w:separator/>
      </w:r>
    </w:p>
  </w:footnote>
  <w:footnote w:type="continuationSeparator" w:id="0">
    <w:p w14:paraId="58A3D27F" w14:textId="77777777" w:rsidR="00ED48FB" w:rsidRDefault="00ED48FB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AFD1" w14:textId="77777777" w:rsidR="00160A4A" w:rsidRDefault="00160A4A" w:rsidP="00160A4A">
    <w:pPr>
      <w:pStyle w:val="Header"/>
      <w:tabs>
        <w:tab w:val="left" w:pos="8505"/>
      </w:tabs>
    </w:pPr>
    <w:r>
      <w:rPr>
        <w:rFonts w:hint="eastAsia"/>
        <w:noProof/>
        <w:lang w:eastAsia="en-CA"/>
      </w:rPr>
      <w:drawing>
        <wp:inline distT="0" distB="0" distL="0" distR="0" wp14:anchorId="25559C1C" wp14:editId="6052ADF8">
          <wp:extent cx="2192157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5" r="46183"/>
                  <a:stretch/>
                </pic:blipFill>
                <pic:spPr bwMode="auto">
                  <a:xfrm>
                    <a:off x="0" y="0"/>
                    <a:ext cx="2236467" cy="108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4CD"/>
    <w:multiLevelType w:val="multilevel"/>
    <w:tmpl w:val="7B2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B0AA9"/>
    <w:multiLevelType w:val="hybridMultilevel"/>
    <w:tmpl w:val="52E46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800A8"/>
    <w:multiLevelType w:val="hybridMultilevel"/>
    <w:tmpl w:val="C83AE8D8"/>
    <w:lvl w:ilvl="0" w:tplc="1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69BB03A7"/>
    <w:multiLevelType w:val="multilevel"/>
    <w:tmpl w:val="7E4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D7DA0"/>
    <w:multiLevelType w:val="hybridMultilevel"/>
    <w:tmpl w:val="2ED86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4A"/>
    <w:rsid w:val="00002A50"/>
    <w:rsid w:val="00062811"/>
    <w:rsid w:val="000F360A"/>
    <w:rsid w:val="00143349"/>
    <w:rsid w:val="00160A4A"/>
    <w:rsid w:val="00167C41"/>
    <w:rsid w:val="001F5ADF"/>
    <w:rsid w:val="002528B7"/>
    <w:rsid w:val="002623F1"/>
    <w:rsid w:val="00265EFC"/>
    <w:rsid w:val="002707DE"/>
    <w:rsid w:val="002B40F9"/>
    <w:rsid w:val="002E20FE"/>
    <w:rsid w:val="003072DD"/>
    <w:rsid w:val="00310BC5"/>
    <w:rsid w:val="0034777E"/>
    <w:rsid w:val="003713BF"/>
    <w:rsid w:val="003C3915"/>
    <w:rsid w:val="003C5084"/>
    <w:rsid w:val="003F45A4"/>
    <w:rsid w:val="0043358C"/>
    <w:rsid w:val="00456920"/>
    <w:rsid w:val="00464BA6"/>
    <w:rsid w:val="004E504A"/>
    <w:rsid w:val="004F247F"/>
    <w:rsid w:val="00557581"/>
    <w:rsid w:val="005C0CB0"/>
    <w:rsid w:val="005D0056"/>
    <w:rsid w:val="005D17CF"/>
    <w:rsid w:val="00626512"/>
    <w:rsid w:val="00650C92"/>
    <w:rsid w:val="00671498"/>
    <w:rsid w:val="006E0A9A"/>
    <w:rsid w:val="006E7884"/>
    <w:rsid w:val="00771CEC"/>
    <w:rsid w:val="007C01BC"/>
    <w:rsid w:val="007C567B"/>
    <w:rsid w:val="007C5857"/>
    <w:rsid w:val="007E03C0"/>
    <w:rsid w:val="007E296D"/>
    <w:rsid w:val="007F524C"/>
    <w:rsid w:val="00845EB9"/>
    <w:rsid w:val="0085667B"/>
    <w:rsid w:val="0086727D"/>
    <w:rsid w:val="008722CA"/>
    <w:rsid w:val="008B67B2"/>
    <w:rsid w:val="008C5661"/>
    <w:rsid w:val="008F02B8"/>
    <w:rsid w:val="00914FE2"/>
    <w:rsid w:val="00963D7E"/>
    <w:rsid w:val="009D5A38"/>
    <w:rsid w:val="00A03FFC"/>
    <w:rsid w:val="00A462D7"/>
    <w:rsid w:val="00A70620"/>
    <w:rsid w:val="00A777FA"/>
    <w:rsid w:val="00A950ED"/>
    <w:rsid w:val="00AD748E"/>
    <w:rsid w:val="00AE372F"/>
    <w:rsid w:val="00AE48F3"/>
    <w:rsid w:val="00B3474B"/>
    <w:rsid w:val="00BD01DE"/>
    <w:rsid w:val="00BF5FA2"/>
    <w:rsid w:val="00BF743D"/>
    <w:rsid w:val="00C023CD"/>
    <w:rsid w:val="00C251FA"/>
    <w:rsid w:val="00C261B4"/>
    <w:rsid w:val="00C618BE"/>
    <w:rsid w:val="00C73D59"/>
    <w:rsid w:val="00CE0621"/>
    <w:rsid w:val="00D16E56"/>
    <w:rsid w:val="00D75642"/>
    <w:rsid w:val="00DE546F"/>
    <w:rsid w:val="00E005F1"/>
    <w:rsid w:val="00E879F6"/>
    <w:rsid w:val="00EB62C6"/>
    <w:rsid w:val="00ED48FB"/>
    <w:rsid w:val="00F20946"/>
    <w:rsid w:val="00F55794"/>
    <w:rsid w:val="00F9209E"/>
    <w:rsid w:val="00FA1F20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18D8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k.mcmanus@osw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McManus</dc:creator>
  <cp:lastModifiedBy>Patric McManus</cp:lastModifiedBy>
  <cp:revision>14</cp:revision>
  <cp:lastPrinted>2013-06-28T16:26:00Z</cp:lastPrinted>
  <dcterms:created xsi:type="dcterms:W3CDTF">2018-09-25T20:58:00Z</dcterms:created>
  <dcterms:modified xsi:type="dcterms:W3CDTF">2018-09-27T12:30:00Z</dcterms:modified>
</cp:coreProperties>
</file>